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6A99"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Eschatologia Katolicka: Odpusty, Czyściec oraz Sąd Szczegółowy i Ostateczny</w:t>
      </w:r>
    </w:p>
    <w:p w14:paraId="5A0CB453" w14:textId="77777777" w:rsidR="00230033" w:rsidRPr="00230033" w:rsidRDefault="00230033" w:rsidP="00230033">
      <w:pPr>
        <w:rPr>
          <w:rFonts w:ascii="Times New Roman" w:hAnsi="Times New Roman" w:cs="Times New Roman"/>
          <w:lang w:eastAsia="pl-PL"/>
        </w:rPr>
      </w:pPr>
    </w:p>
    <w:p w14:paraId="01A54993"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u w:val="single"/>
          <w:lang w:eastAsia="pl-PL"/>
        </w:rPr>
        <w:t>Nauka Kościoła katolickiego dotycząca spraw ostatecznych, czyli eschatologia,</w:t>
      </w:r>
      <w:r w:rsidRPr="00230033">
        <w:rPr>
          <w:rFonts w:ascii="Times New Roman" w:hAnsi="Times New Roman" w:cs="Times New Roman"/>
          <w:lang w:eastAsia="pl-PL"/>
        </w:rPr>
        <w:t xml:space="preserve"> obejmuje kluczowe prawdy wiary, które rzutują na życie doczesne każdego wierzącego. Centralnymi elementami tej nauki są koncepcje czyśćca, odpustów oraz dwóch rodzajów sądów Bożych: szczegółowego i ostatecznego.</w:t>
      </w:r>
    </w:p>
    <w:p w14:paraId="16D346E7" w14:textId="77777777" w:rsidR="00230033" w:rsidRPr="00230033" w:rsidRDefault="00230033" w:rsidP="00230033">
      <w:pPr>
        <w:rPr>
          <w:rFonts w:ascii="Times New Roman" w:hAnsi="Times New Roman" w:cs="Times New Roman"/>
          <w:lang w:eastAsia="pl-PL"/>
        </w:rPr>
      </w:pPr>
    </w:p>
    <w:p w14:paraId="3D0445A6" w14:textId="77777777" w:rsidR="00230033" w:rsidRPr="00230033" w:rsidRDefault="00230033" w:rsidP="00230033">
      <w:pPr>
        <w:pStyle w:val="Akapitzlist"/>
        <w:numPr>
          <w:ilvl w:val="0"/>
          <w:numId w:val="2"/>
        </w:numPr>
        <w:rPr>
          <w:rFonts w:ascii="Times New Roman" w:hAnsi="Times New Roman" w:cs="Times New Roman"/>
          <w:lang w:eastAsia="pl-PL"/>
        </w:rPr>
      </w:pPr>
      <w:r w:rsidRPr="00230033">
        <w:rPr>
          <w:rFonts w:ascii="Times New Roman" w:hAnsi="Times New Roman" w:cs="Times New Roman"/>
          <w:lang w:eastAsia="pl-PL"/>
        </w:rPr>
        <w:t>Czyściec: Miejsce Oczyszczenia</w:t>
      </w:r>
    </w:p>
    <w:p w14:paraId="67F0C273"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Zgodnie z wiarą katolicką, czyściec (łac. </w:t>
      </w:r>
      <w:proofErr w:type="spellStart"/>
      <w:r w:rsidRPr="00230033">
        <w:rPr>
          <w:rFonts w:ascii="Times New Roman" w:hAnsi="Times New Roman" w:cs="Times New Roman"/>
          <w:lang w:eastAsia="pl-PL"/>
        </w:rPr>
        <w:t>purgatorium</w:t>
      </w:r>
      <w:proofErr w:type="spellEnd"/>
      <w:r w:rsidRPr="00230033">
        <w:rPr>
          <w:rFonts w:ascii="Times New Roman" w:hAnsi="Times New Roman" w:cs="Times New Roman"/>
          <w:lang w:eastAsia="pl-PL"/>
        </w:rPr>
        <w:t xml:space="preserve">) to stan, w którym dusze zmarłych, którzy zasłużyli na zbawienie, ale nie są jeszcze w pełni gotowi na wejście do radości nieba, przechodzą proces ostatecznego oczyszczenia. Mimo że w Piśmie Świętym słowo "czyściec" nie pada ani razu, Kościół opiera swoją naukę na fragmentach biblijnych (np. 2 </w:t>
      </w:r>
      <w:proofErr w:type="spellStart"/>
      <w:r w:rsidRPr="00230033">
        <w:rPr>
          <w:rFonts w:ascii="Times New Roman" w:hAnsi="Times New Roman" w:cs="Times New Roman"/>
          <w:lang w:eastAsia="pl-PL"/>
        </w:rPr>
        <w:t>Mch</w:t>
      </w:r>
      <w:proofErr w:type="spellEnd"/>
      <w:r w:rsidRPr="00230033">
        <w:rPr>
          <w:rFonts w:ascii="Times New Roman" w:hAnsi="Times New Roman" w:cs="Times New Roman"/>
          <w:lang w:eastAsia="pl-PL"/>
        </w:rPr>
        <w:t xml:space="preserve"> 12, 45, czy 1 Kor 3, 15), które sugerują możliwość pośmiertnego oczyszczenia lub potrzebę modlitwy za zmarłych. </w:t>
      </w:r>
    </w:p>
    <w:p w14:paraId="1A60B695"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Celem czyśćca jest usunięcie "kary doczesnej" za grzechy, które zostały już odpuszczone w sakramencie pokuty (co gładzi winę moralną), ale których negatywne konsekwencje nadal wymagają zadośćuczynienia. Jest to konieczne, ponieważ do nieba może wejść tylko dusza całkowicie czysta i doskonała w miłości. </w:t>
      </w:r>
    </w:p>
    <w:p w14:paraId="1A0B8AE5" w14:textId="77777777" w:rsidR="00230033" w:rsidRPr="00230033" w:rsidRDefault="00230033" w:rsidP="00230033">
      <w:pPr>
        <w:rPr>
          <w:rFonts w:ascii="Times New Roman" w:hAnsi="Times New Roman" w:cs="Times New Roman"/>
          <w:lang w:eastAsia="pl-PL"/>
        </w:rPr>
      </w:pPr>
    </w:p>
    <w:p w14:paraId="0B492ED3" w14:textId="4C8EB6E7" w:rsidR="00230033" w:rsidRPr="00230033" w:rsidRDefault="00230033" w:rsidP="00230033">
      <w:pPr>
        <w:pStyle w:val="Akapitzlist"/>
        <w:numPr>
          <w:ilvl w:val="0"/>
          <w:numId w:val="2"/>
        </w:numPr>
        <w:rPr>
          <w:rFonts w:ascii="Times New Roman" w:hAnsi="Times New Roman" w:cs="Times New Roman"/>
          <w:lang w:eastAsia="pl-PL"/>
        </w:rPr>
      </w:pPr>
      <w:r w:rsidRPr="00230033">
        <w:rPr>
          <w:rFonts w:ascii="Times New Roman" w:hAnsi="Times New Roman" w:cs="Times New Roman"/>
          <w:lang w:eastAsia="pl-PL"/>
        </w:rPr>
        <w:t>Odpusty: Darowanie Kary Doczesnej</w:t>
      </w:r>
    </w:p>
    <w:p w14:paraId="11960D14"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Odpusty są ściśle związane z nauką o czyśćcu. Odpust, definiowany w prawie kanonicznym (kan. 992-997), to darowanie przed Bogiem kary doczesnej za grzechy, które zostały już odpuszczone co do winy. </w:t>
      </w:r>
      <w:proofErr w:type="gramStart"/>
      <w:r w:rsidRPr="00230033">
        <w:rPr>
          <w:rFonts w:ascii="Times New Roman" w:hAnsi="Times New Roman" w:cs="Times New Roman"/>
          <w:lang w:eastAsia="pl-PL"/>
        </w:rPr>
        <w:t>Kościół,</w:t>
      </w:r>
      <w:proofErr w:type="gramEnd"/>
      <w:r w:rsidRPr="00230033">
        <w:rPr>
          <w:rFonts w:ascii="Times New Roman" w:hAnsi="Times New Roman" w:cs="Times New Roman"/>
          <w:lang w:eastAsia="pl-PL"/>
        </w:rPr>
        <w:t xml:space="preserve"> jako szafarz owoców odkupienia, udziela tego darowania ze "skarbca Kościoła", na który składają się zasługi Chrystusa i świętych. </w:t>
      </w:r>
    </w:p>
    <w:p w14:paraId="44806320"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Odpusty mogą być cząstkowe (uwalniające od części kary) lub zupełne (uwalniające od całej kary doczesnej). Aby uzyskać odpust (dla siebie lub ofiarować go za duszę zmarłego), wierny musi spełnić określone warunki, do których zazwyczaj należą: </w:t>
      </w:r>
    </w:p>
    <w:p w14:paraId="2612B963" w14:textId="77777777" w:rsidR="00230033" w:rsidRPr="00230033" w:rsidRDefault="00230033" w:rsidP="00230033">
      <w:pPr>
        <w:rPr>
          <w:rFonts w:ascii="Times New Roman" w:hAnsi="Times New Roman" w:cs="Times New Roman"/>
          <w:lang w:eastAsia="pl-PL"/>
        </w:rPr>
      </w:pPr>
    </w:p>
    <w:p w14:paraId="0C679892" w14:textId="4D5471D4"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Brak jakiegokolwiek przywiązania do grzechu, nawet lekkiego (w przypadku odpustu zupełnego).</w:t>
      </w:r>
    </w:p>
    <w:p w14:paraId="7D54D9A0" w14:textId="77DE5EBC"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Stan łaski uświęcającej (lub uprzednia spowiedź sakramentalna).</w:t>
      </w:r>
    </w:p>
    <w:p w14:paraId="3B2DBEFE" w14:textId="011C245B"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Przyjęcie Komunii Świętej.</w:t>
      </w:r>
    </w:p>
    <w:p w14:paraId="6504F774" w14:textId="5F05F139"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Odmówienie modlitwy w intencjach Ojca Świętego.</w:t>
      </w:r>
    </w:p>
    <w:p w14:paraId="0A960D89" w14:textId="035C07DF"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Wykonanie konkretnego dzieła obdarzonego odpustem (np. nawiedzenie kościoła w określonym dniu</w:t>
      </w:r>
      <w:r w:rsidRPr="00230033">
        <w:rPr>
          <w:rFonts w:ascii="Times New Roman" w:hAnsi="Times New Roman" w:cs="Times New Roman"/>
          <w:lang w:eastAsia="pl-PL"/>
        </w:rPr>
        <w:t xml:space="preserve"> lub cmentarza</w:t>
      </w:r>
      <w:r w:rsidRPr="00230033">
        <w:rPr>
          <w:rFonts w:ascii="Times New Roman" w:hAnsi="Times New Roman" w:cs="Times New Roman"/>
          <w:lang w:eastAsia="pl-PL"/>
        </w:rPr>
        <w:t>, odmówienie pewnych modlitw, udział w rekolekcjach). </w:t>
      </w:r>
    </w:p>
    <w:p w14:paraId="3EE8A4E5" w14:textId="77777777" w:rsidR="00230033" w:rsidRPr="00230033" w:rsidRDefault="00230033" w:rsidP="00230033">
      <w:pPr>
        <w:rPr>
          <w:rFonts w:ascii="Times New Roman" w:hAnsi="Times New Roman" w:cs="Times New Roman"/>
          <w:lang w:eastAsia="pl-PL"/>
        </w:rPr>
      </w:pPr>
    </w:p>
    <w:p w14:paraId="399205EE" w14:textId="77777777" w:rsidR="00230033" w:rsidRPr="00230033" w:rsidRDefault="00230033" w:rsidP="00230033">
      <w:pPr>
        <w:pStyle w:val="Akapitzlist"/>
        <w:numPr>
          <w:ilvl w:val="0"/>
          <w:numId w:val="2"/>
        </w:numPr>
        <w:rPr>
          <w:rFonts w:ascii="Times New Roman" w:hAnsi="Times New Roman" w:cs="Times New Roman"/>
          <w:lang w:eastAsia="pl-PL"/>
        </w:rPr>
      </w:pPr>
      <w:r w:rsidRPr="00230033">
        <w:rPr>
          <w:rFonts w:ascii="Times New Roman" w:hAnsi="Times New Roman" w:cs="Times New Roman"/>
          <w:lang w:eastAsia="pl-PL"/>
        </w:rPr>
        <w:t>Sąd Szczegółowy i Sąd Ostateczny: Dwa Wymiary Sprawiedliwości Bożej</w:t>
      </w:r>
    </w:p>
    <w:p w14:paraId="31FA480A"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Eschatologia katolicka rozróżnia dwa etapy sądu Bożego:</w:t>
      </w:r>
    </w:p>
    <w:p w14:paraId="69AA7388" w14:textId="7B91DB9F"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Sąd Szczegółowy</w:t>
      </w:r>
    </w:p>
    <w:p w14:paraId="4B1F28AF"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Następuje on bezpośrednio po śmierci każdego człowieka. W tym momencie nieśmiertelna dusza staje przed Bogiem, a jej życie zostaje poddane osądowi w świetle miłości Chrystusa. Sąd ten ma charakter indywidualny i nieodwołalny – decyduje o wiecznym przeznaczeniu duszy: do nieba (ewentualnie przez czyściec) lub do piekła. Przypowieść o bogaczu i Łazarzu oraz słowa Jezusa do Dobrego Łotra są biblijnymi odniesieniami do tej prawdy. </w:t>
      </w:r>
    </w:p>
    <w:p w14:paraId="05689A38" w14:textId="0607874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 xml:space="preserve">- </w:t>
      </w:r>
      <w:r w:rsidRPr="00230033">
        <w:rPr>
          <w:rFonts w:ascii="Times New Roman" w:hAnsi="Times New Roman" w:cs="Times New Roman"/>
          <w:lang w:eastAsia="pl-PL"/>
        </w:rPr>
        <w:t>Sąd Ostateczny (Powszechny)</w:t>
      </w:r>
    </w:p>
    <w:p w14:paraId="18F10540" w14:textId="77777777" w:rsidR="00230033" w:rsidRPr="00230033" w:rsidRDefault="00230033" w:rsidP="00230033">
      <w:pPr>
        <w:rPr>
          <w:rFonts w:ascii="Times New Roman" w:hAnsi="Times New Roman" w:cs="Times New Roman"/>
          <w:lang w:eastAsia="pl-PL"/>
        </w:rPr>
      </w:pPr>
      <w:r w:rsidRPr="00230033">
        <w:rPr>
          <w:rFonts w:ascii="Times New Roman" w:hAnsi="Times New Roman" w:cs="Times New Roman"/>
          <w:lang w:eastAsia="pl-PL"/>
        </w:rPr>
        <w:t>Ten sąd nastąpi na końcu czasów, wraz z drugim przyjściem Chrystusa w chwale i powszechnym zmartwychwstaniem ciał. Wszyscy ludzie, żywi i umarli (którzy powrócą w swoich ciałach), staną razem przed Bogiem. Sąd Ostateczny nie zmieni wyroku sądu szczegółowego, lecz będzie jego publicznym ogłoszeniem i ujawnieniem wobec całego stworzenia. Pokaże on ostateczny sens historii zbawienia i sprawiedliwość Bożą w odniesieniu do każdego człowieka i całej ludzkości. Po Sądzie Ostatecznym nastąpi "nowe niebo i nowa ziemia", a zbawieni osiągną pełnię szczęścia w zjednoczeniu duszy i ciała w obecności Boga. </w:t>
      </w:r>
    </w:p>
    <w:p w14:paraId="07E6C7C7" w14:textId="77777777" w:rsidR="00B458D0" w:rsidRPr="00230033" w:rsidRDefault="00B458D0" w:rsidP="00230033">
      <w:pPr>
        <w:rPr>
          <w:rFonts w:ascii="Times New Roman" w:hAnsi="Times New Roman" w:cs="Times New Roman"/>
        </w:rPr>
      </w:pPr>
    </w:p>
    <w:sectPr w:rsidR="00B458D0" w:rsidRPr="00230033" w:rsidSect="00230033">
      <w:pgSz w:w="11906" w:h="16838"/>
      <w:pgMar w:top="311" w:right="1417" w:bottom="38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46FE"/>
    <w:multiLevelType w:val="multilevel"/>
    <w:tmpl w:val="63E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5424C8"/>
    <w:multiLevelType w:val="hybridMultilevel"/>
    <w:tmpl w:val="1660A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03496581">
    <w:abstractNumId w:val="0"/>
  </w:num>
  <w:num w:numId="2" w16cid:durableId="16929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033"/>
    <w:rsid w:val="001D5310"/>
    <w:rsid w:val="00230033"/>
    <w:rsid w:val="00300011"/>
    <w:rsid w:val="00A554BF"/>
    <w:rsid w:val="00B458D0"/>
    <w:rsid w:val="00EE6B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19283D1C"/>
  <w15:chartTrackingRefBased/>
  <w15:docId w15:val="{2FE31BFD-44E2-CE41-9496-011D4AB9E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230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30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3003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3003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3003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30033"/>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30033"/>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30033"/>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30033"/>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3003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3003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3003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3003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3003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3003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3003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3003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30033"/>
    <w:rPr>
      <w:rFonts w:eastAsiaTheme="majorEastAsia" w:cstheme="majorBidi"/>
      <w:color w:val="272727" w:themeColor="text1" w:themeTint="D8"/>
    </w:rPr>
  </w:style>
  <w:style w:type="paragraph" w:styleId="Tytu">
    <w:name w:val="Title"/>
    <w:basedOn w:val="Normalny"/>
    <w:next w:val="Normalny"/>
    <w:link w:val="TytuZnak"/>
    <w:uiPriority w:val="10"/>
    <w:qFormat/>
    <w:rsid w:val="00230033"/>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3003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30033"/>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3003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30033"/>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230033"/>
    <w:rPr>
      <w:i/>
      <w:iCs/>
      <w:color w:val="404040" w:themeColor="text1" w:themeTint="BF"/>
    </w:rPr>
  </w:style>
  <w:style w:type="paragraph" w:styleId="Akapitzlist">
    <w:name w:val="List Paragraph"/>
    <w:basedOn w:val="Normalny"/>
    <w:uiPriority w:val="34"/>
    <w:qFormat/>
    <w:rsid w:val="00230033"/>
    <w:pPr>
      <w:ind w:left="720"/>
      <w:contextualSpacing/>
    </w:pPr>
  </w:style>
  <w:style w:type="character" w:styleId="Wyrnienieintensywne">
    <w:name w:val="Intense Emphasis"/>
    <w:basedOn w:val="Domylnaczcionkaakapitu"/>
    <w:uiPriority w:val="21"/>
    <w:qFormat/>
    <w:rsid w:val="00230033"/>
    <w:rPr>
      <w:i/>
      <w:iCs/>
      <w:color w:val="0F4761" w:themeColor="accent1" w:themeShade="BF"/>
    </w:rPr>
  </w:style>
  <w:style w:type="paragraph" w:styleId="Cytatintensywny">
    <w:name w:val="Intense Quote"/>
    <w:basedOn w:val="Normalny"/>
    <w:next w:val="Normalny"/>
    <w:link w:val="CytatintensywnyZnak"/>
    <w:uiPriority w:val="30"/>
    <w:qFormat/>
    <w:rsid w:val="00230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30033"/>
    <w:rPr>
      <w:i/>
      <w:iCs/>
      <w:color w:val="0F4761" w:themeColor="accent1" w:themeShade="BF"/>
    </w:rPr>
  </w:style>
  <w:style w:type="character" w:styleId="Odwoanieintensywne">
    <w:name w:val="Intense Reference"/>
    <w:basedOn w:val="Domylnaczcionkaakapitu"/>
    <w:uiPriority w:val="32"/>
    <w:qFormat/>
    <w:rsid w:val="00230033"/>
    <w:rPr>
      <w:b/>
      <w:bCs/>
      <w:smallCaps/>
      <w:color w:val="0F4761" w:themeColor="accent1" w:themeShade="BF"/>
      <w:spacing w:val="5"/>
    </w:rPr>
  </w:style>
  <w:style w:type="character" w:customStyle="1" w:styleId="vkekvd">
    <w:name w:val="vkekvd"/>
    <w:basedOn w:val="Domylnaczcionkaakapitu"/>
    <w:rsid w:val="00230033"/>
  </w:style>
  <w:style w:type="character" w:customStyle="1" w:styleId="t286pc">
    <w:name w:val="t286pc"/>
    <w:basedOn w:val="Domylnaczcionkaakapitu"/>
    <w:rsid w:val="00230033"/>
  </w:style>
  <w:style w:type="character" w:customStyle="1" w:styleId="apple-converted-space">
    <w:name w:val="apple-converted-space"/>
    <w:basedOn w:val="Domylnaczcionkaakapitu"/>
    <w:rsid w:val="00230033"/>
  </w:style>
  <w:style w:type="character" w:styleId="Uwydatnienie">
    <w:name w:val="Emphasis"/>
    <w:basedOn w:val="Domylnaczcionkaakapitu"/>
    <w:uiPriority w:val="20"/>
    <w:qFormat/>
    <w:rsid w:val="00230033"/>
    <w:rPr>
      <w:i/>
      <w:iCs/>
    </w:rPr>
  </w:style>
  <w:style w:type="character" w:styleId="Pogrubienie">
    <w:name w:val="Strong"/>
    <w:basedOn w:val="Domylnaczcionkaakapitu"/>
    <w:uiPriority w:val="22"/>
    <w:qFormat/>
    <w:rsid w:val="002300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485</Words>
  <Characters>2914</Characters>
  <Application>Microsoft Office Word</Application>
  <DocSecurity>0</DocSecurity>
  <Lines>24</Lines>
  <Paragraphs>6</Paragraphs>
  <ScaleCrop>false</ScaleCrop>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Kowalski</dc:creator>
  <cp:keywords/>
  <dc:description/>
  <cp:lastModifiedBy>Mariusz Kowalski</cp:lastModifiedBy>
  <cp:revision>1</cp:revision>
  <dcterms:created xsi:type="dcterms:W3CDTF">2025-11-05T20:19:00Z</dcterms:created>
  <dcterms:modified xsi:type="dcterms:W3CDTF">2025-11-05T20:23:00Z</dcterms:modified>
</cp:coreProperties>
</file>